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54E6AC"/>
    <w:p w14:paraId="399ADA00">
      <w:pPr>
        <w:snapToGrid w:val="0"/>
        <w:spacing w:line="300" w:lineRule="auto"/>
        <w:ind w:left="768" w:leftChars="50" w:hanging="663" w:hangingChars="150"/>
        <w:jc w:val="center"/>
        <w:rPr>
          <w:rFonts w:ascii="仿宋_GB2312" w:hAnsi="宋体" w:eastAsia="仿宋_GB2312"/>
          <w:b/>
          <w:sz w:val="44"/>
          <w:szCs w:val="44"/>
        </w:rPr>
      </w:pPr>
      <w:r>
        <w:rPr>
          <w:rFonts w:hint="eastAsia" w:ascii="仿宋_GB2312" w:hAnsi="宋体" w:eastAsia="仿宋_GB2312"/>
          <w:b/>
          <w:sz w:val="44"/>
          <w:szCs w:val="44"/>
        </w:rPr>
        <w:t>项目需求</w:t>
      </w:r>
    </w:p>
    <w:p w14:paraId="5BBF3340">
      <w:pPr>
        <w:pStyle w:val="2"/>
        <w:spacing w:beforeLines="100" w:afterLines="100" w:line="240" w:lineRule="auto"/>
        <w:rPr>
          <w:rFonts w:ascii="Times New Roman" w:hAnsi="Times New Roman"/>
          <w:sz w:val="21"/>
          <w:szCs w:val="21"/>
        </w:rPr>
      </w:pPr>
    </w:p>
    <w:tbl>
      <w:tblPr>
        <w:tblStyle w:val="3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9"/>
        <w:gridCol w:w="7244"/>
        <w:gridCol w:w="639"/>
      </w:tblGrid>
      <w:tr w14:paraId="3F4031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82E825">
            <w:pPr>
              <w:spacing w:line="30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序号</w:t>
            </w:r>
          </w:p>
        </w:tc>
        <w:tc>
          <w:tcPr>
            <w:tcW w:w="42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786CC4">
            <w:pPr>
              <w:spacing w:line="240" w:lineRule="exact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项目</w:t>
            </w:r>
            <w:r>
              <w:rPr>
                <w:sz w:val="20"/>
                <w:szCs w:val="20"/>
              </w:rPr>
              <w:t>要求</w:t>
            </w:r>
          </w:p>
        </w:tc>
        <w:tc>
          <w:tcPr>
            <w:tcW w:w="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1312AF">
            <w:pPr>
              <w:spacing w:line="300" w:lineRule="exact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备注</w:t>
            </w:r>
          </w:p>
        </w:tc>
      </w:tr>
      <w:tr w14:paraId="67D4F9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2" w:hRule="atLeast"/>
          <w:jc w:val="center"/>
        </w:trPr>
        <w:tc>
          <w:tcPr>
            <w:tcW w:w="375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CFB1B37">
            <w:pPr>
              <w:spacing w:line="48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42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2DF39C">
            <w:pPr>
              <w:widowControl/>
              <w:spacing w:line="240" w:lineRule="exact"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（一）项目概况</w:t>
            </w:r>
          </w:p>
          <w:p w14:paraId="753ECCC9">
            <w:pPr>
              <w:widowControl/>
              <w:spacing w:line="240" w:lineRule="exact"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 xml:space="preserve">   为满足本校慕课资源的需求我校将引入50门优质通识课程资源，课程资源涉及毛概、军事理论、思修、形式与政策、中国近代史纲要、大学生创业、国学文化、人类历史、社会自然及艺术欣赏等多个学科，课程引入注重知名师资团队，优质课程资源，成熟的课程运行平台。</w:t>
            </w:r>
          </w:p>
          <w:p w14:paraId="033BCE18">
            <w:pPr>
              <w:widowControl/>
              <w:spacing w:line="240" w:lineRule="exact"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建立一个基于互联网的适用于全校学生的辅助学习、自主学习的交互式教与学的应用平台。可以打破大学校园时空限制，实现学生的远程学习和弹性自主学习，部分课程实现纯网络教学和网上修学分。平台具有网上教学组织和管理、网上题库建设、在线考试和阅卷等功能。</w:t>
            </w:r>
          </w:p>
          <w:p w14:paraId="34A63F0B">
            <w:pPr>
              <w:widowControl/>
              <w:spacing w:line="240" w:lineRule="exact"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搭建启发式、探究式、讨论式、参与式的学习平台，为学校教育教学改革创新提供立体化、数字化的教学环境，提供教学观念和教学方法改革创新途径，提高优质教学资源的利用效率，体现学校教育教学改革和现代信息技术的应用成果，着力提高教学效果和人才培养质量。</w:t>
            </w:r>
          </w:p>
        </w:tc>
        <w:tc>
          <w:tcPr>
            <w:tcW w:w="375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A43BEFA">
            <w:pPr>
              <w:spacing w:line="480" w:lineRule="exact"/>
              <w:jc w:val="center"/>
              <w:rPr>
                <w:sz w:val="20"/>
                <w:szCs w:val="20"/>
              </w:rPr>
            </w:pPr>
          </w:p>
        </w:tc>
      </w:tr>
      <w:tr w14:paraId="0B73F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9" w:hRule="atLeast"/>
          <w:jc w:val="center"/>
        </w:trPr>
        <w:tc>
          <w:tcPr>
            <w:tcW w:w="375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10D03F9">
            <w:pPr>
              <w:spacing w:line="48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42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300AE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（二）服务要求</w:t>
            </w:r>
          </w:p>
          <w:p w14:paraId="6CB6B3BC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一、服务要求：</w:t>
            </w:r>
          </w:p>
          <w:p w14:paraId="41443CD8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★1、供应商须提供不低于500门</w:t>
            </w:r>
            <w:r>
              <w:rPr>
                <w:rFonts w:hint="eastAsia"/>
                <w:color w:val="000000"/>
                <w:kern w:val="0"/>
                <w:sz w:val="20"/>
                <w:szCs w:val="20"/>
                <w:lang w:eastAsia="zh-CN"/>
              </w:rPr>
              <w:t>网络公共选修</w:t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课程的选课清单，其中必须包含《毛泽东思想和中国特色社会主义理论体系概论》《军事理论》《思想道德修养与法律基础》《形式与政策》《中国近代史纲要》《艾滋病、性与健康》《巴蜀文化》《走进故宫》《侵权法》《创造性思维与创新方法》《创践-大学生创新创业实务》课程。</w:t>
            </w:r>
          </w:p>
          <w:p w14:paraId="1A835705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（需提供202</w:t>
            </w:r>
            <w:r>
              <w:rPr>
                <w:rFonts w:hint="eastAsia"/>
                <w:color w:val="000000"/>
                <w:kern w:val="0"/>
                <w:sz w:val="20"/>
                <w:szCs w:val="20"/>
                <w:lang w:val="en-US" w:eastAsia="zh-CN"/>
              </w:rPr>
              <w:t>5</w:t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年秋冬学期500门</w:t>
            </w:r>
            <w:r>
              <w:rPr>
                <w:rFonts w:hint="eastAsia"/>
                <w:color w:val="000000"/>
                <w:kern w:val="0"/>
                <w:sz w:val="20"/>
                <w:szCs w:val="20"/>
                <w:lang w:eastAsia="zh-CN"/>
              </w:rPr>
              <w:t>网络公共选修</w:t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课程选课清单证明材料）</w:t>
            </w:r>
          </w:p>
          <w:p w14:paraId="6BB266B9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★2、提供至少50门已认定的国家级精品在线开放课程优质共享课资源可供学校引入。</w:t>
            </w:r>
          </w:p>
          <w:p w14:paraId="3E26B54F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（需提供国家精品在线开放课程工作网http://www.chinaooc.cn/front/index.htm公示截图或提供相关课程认定证书。）</w:t>
            </w:r>
          </w:p>
          <w:p w14:paraId="5AB5D060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3、所提供课程在网站上必须有完成的课程简介、教师团队、课程大纲、课程教学计划、课程招生等信息，让学生对该课程更了解。</w:t>
            </w:r>
          </w:p>
          <w:p w14:paraId="3190F33F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1）课程标准：根据进阶式教程中的章节简介及章节计划学时。</w:t>
            </w:r>
          </w:p>
          <w:p w14:paraId="32CF5132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2）时间计划表：根据教学大纲的需求和学校的教学要求，自动设置每一章节的修读时间权限及章节测试完成时间。</w:t>
            </w:r>
          </w:p>
          <w:p w14:paraId="3B47DD48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3）教学计划与学习进度：根据课程大纲生成的教学计划和每一个招生、每一个教学班的个性化教学计划，让学生清楚整个的学习计划。根据在线视频学习与在线作业考试行程学习进度，并有标准进度的对比功能；学生实时了解自己的学习进度，教师通过统计分析实时了解全部学生的学习进度，并进行自动和手动的学习督促。</w:t>
            </w:r>
          </w:p>
          <w:p w14:paraId="2E2FD507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4）在线教程：强大的进阶式教程学习，学生可以随时了解自己的学习排名，记录学习笔记，学习知识卡与其他相关资源，参与章节测试。</w:t>
            </w:r>
          </w:p>
          <w:p w14:paraId="7B73BF13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5）考试题库：支持多种规格化题型和强大的自定义题型功能，强大的题库为作业考试的创建提供数据支撑。</w:t>
            </w:r>
          </w:p>
          <w:p w14:paraId="016F102E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★4、提供移动端学生APP和教师APP和管理者APP，支持基于IOS的iPhone手机和基于Android的手机应用。学生APP能帮助学生通过手机快速的访问所选课程，并随时随地在线移动学习，参与共享课程的教学业务；也同步支持见面课的实时收视和互动、弹幕、回放功能；管理者APP能帮助领导进行</w:t>
            </w:r>
            <w:r>
              <w:rPr>
                <w:rFonts w:hint="eastAsia"/>
                <w:color w:val="000000"/>
                <w:kern w:val="0"/>
                <w:sz w:val="20"/>
                <w:szCs w:val="20"/>
                <w:lang w:eastAsia="zh-CN"/>
              </w:rPr>
              <w:t>网络公共选修</w:t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课程优选，监督教学过程管理，提升管理效率，个人成长社区，文化沙龙直播等服务;教师APP可以实时对学生的学习情况进行查询，督促学生上课、完成相应阶段的课程内容，以及进行课程的讨论互动。</w:t>
            </w:r>
          </w:p>
          <w:p w14:paraId="3A698518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(需提供三款APP的软件功能详细截图）</w:t>
            </w:r>
          </w:p>
          <w:p w14:paraId="663910C4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5、成绩分析：自动生成成绩的分布状态统计图表，方便教师进行成绩的设置和课程学习结果的直观掌握。</w:t>
            </w:r>
          </w:p>
          <w:p w14:paraId="3913C87E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6、学情分析：课程平台需要具有记录每个学生当前课程所有学习情况的功能（教程学习，见面课，课程资料，学习轨迹）。</w:t>
            </w:r>
          </w:p>
          <w:p w14:paraId="55595AC8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7、教学运行报告：自动生成全校</w:t>
            </w:r>
            <w:r>
              <w:rPr>
                <w:rFonts w:hint="eastAsia"/>
                <w:color w:val="000000"/>
                <w:kern w:val="0"/>
                <w:sz w:val="20"/>
                <w:szCs w:val="20"/>
                <w:lang w:eastAsia="zh-CN"/>
              </w:rPr>
              <w:t>网络公共选修</w:t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课程运行报告，包含学生选课人数、学生学习时间分配、学生视频观看情况、师生答疑互动情况、教师批改作业情况等数据。能够最小以周为单位自动统计生成。</w:t>
            </w:r>
          </w:p>
          <w:p w14:paraId="7C4342F2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★8、支持混合式教学模式，可以选择参加见面课，安排学生统一参加直播课，若无法参与直播课的学生可选择回看直播视频，完成学习过程。见面课内容模块应包含：见面课主讲内容、主讲人、主讲人学校、要求进度、预计开始时间、教学要求等基本课程信息。</w:t>
            </w:r>
          </w:p>
          <w:p w14:paraId="0D0160F8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（需提供平台运行课程见面课内容模块功能截图）</w:t>
            </w:r>
          </w:p>
          <w:p w14:paraId="3F466B29">
            <w:pPr>
              <w:widowControl/>
              <w:spacing w:line="240" w:lineRule="exact"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★9、课程平台须按照《中国互联网管理条例》等规定，完成有关的备案和审批手续，至少获得国家信息安全等级保护二级认证。平台运行安全稳定畅通，课程在线教学支持服务高效。同时，须制定相应的管理制度和工作流程，配有专业人员进行审查管理，确保上线课程的内容规范及技术水平。</w:t>
            </w:r>
          </w:p>
        </w:tc>
        <w:tc>
          <w:tcPr>
            <w:tcW w:w="375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506F39E">
            <w:pPr>
              <w:spacing w:line="480" w:lineRule="exact"/>
              <w:jc w:val="center"/>
              <w:rPr>
                <w:sz w:val="20"/>
                <w:szCs w:val="20"/>
              </w:rPr>
            </w:pPr>
          </w:p>
        </w:tc>
      </w:tr>
      <w:tr w14:paraId="05FFA7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9" w:hRule="atLeast"/>
          <w:jc w:val="center"/>
        </w:trPr>
        <w:tc>
          <w:tcPr>
            <w:tcW w:w="375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F19DC79">
            <w:pPr>
              <w:spacing w:line="480" w:lineRule="exact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</w:t>
            </w:r>
          </w:p>
        </w:tc>
        <w:tc>
          <w:tcPr>
            <w:tcW w:w="42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D74AB7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三、内容要求：</w:t>
            </w:r>
          </w:p>
          <w:p w14:paraId="1913B008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1、课程要求</w:t>
            </w:r>
          </w:p>
          <w:p w14:paraId="599877BD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1.1、课程时长</w:t>
            </w:r>
          </w:p>
          <w:p w14:paraId="22CEACF9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在线教学500-600分钟，见面课教学4-6次。</w:t>
            </w:r>
          </w:p>
          <w:p w14:paraId="5BCC1597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1.2、课程学时</w:t>
            </w:r>
          </w:p>
          <w:p w14:paraId="1E3E26CF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28-32学时，混合式课程教学模式。</w:t>
            </w:r>
          </w:p>
          <w:p w14:paraId="569F378D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1.3、课程形式</w:t>
            </w:r>
          </w:p>
          <w:p w14:paraId="53D48F06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线上教学与见面课、小组讨论教学相结合。</w:t>
            </w:r>
          </w:p>
          <w:p w14:paraId="1C084B53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1.4 师资来源</w:t>
            </w:r>
          </w:p>
          <w:p w14:paraId="5F8EE25D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985/211高校、体卫艺司、故宫博物院、中国科学院、中国社会科学院等国内外知名科研机构；</w:t>
            </w:r>
          </w:p>
          <w:p w14:paraId="72EDC921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四、运行服务要求</w:t>
            </w:r>
          </w:p>
          <w:p w14:paraId="0CACC1D5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1.课程运行平台基本参数要求：</w:t>
            </w:r>
          </w:p>
          <w:p w14:paraId="0DCC54C8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项目</w:t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ab/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性能指标</w:t>
            </w:r>
          </w:p>
          <w:p w14:paraId="5CA8AA43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在线人数</w:t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ab/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支持10000人以上同时在线，支持1000-1200并发操作；</w:t>
            </w:r>
          </w:p>
          <w:p w14:paraId="40BD0F2E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业务办理</w:t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ab/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单笔业务录入/修改的响应时间≤1秒；单笔业务以外的其他业务响应时间≤3秒;</w:t>
            </w:r>
          </w:p>
          <w:p w14:paraId="078CDA92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业务并发</w:t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ab/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系统至少支持峰值1800笔/分钟的实时查询或处理业务。</w:t>
            </w:r>
          </w:p>
          <w:p w14:paraId="1C5891C1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查询</w:t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ab/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百万级数据量下单记录本地查询的响应时间≤3秒；简单统计报表查询的响应时间≤10秒;</w:t>
            </w:r>
          </w:p>
          <w:p w14:paraId="6476D8AB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统计</w:t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ab/>
            </w: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百万级数据量下单项统计的响应时间≤5秒;生成复杂统计报表的响应时间≤180秒;</w:t>
            </w:r>
          </w:p>
          <w:p w14:paraId="7BF043F2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2.视频访问提供校园网与公网切换服务：平台远程访问、公网访问。</w:t>
            </w:r>
          </w:p>
          <w:p w14:paraId="76452B71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3.提供教学和教务全程服务。</w:t>
            </w:r>
          </w:p>
          <w:p w14:paraId="7FD785D9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4.开课/结课的所有对接服务：学生信息、学习成绩及学分的导入/导出。</w:t>
            </w:r>
          </w:p>
          <w:p w14:paraId="5B41DD84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5.学生学习进度监控、课程访问统计分析、学习诚信监控。</w:t>
            </w:r>
          </w:p>
          <w:p w14:paraId="5E81AD1C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6.提供针对学校的课程运行报告。</w:t>
            </w:r>
          </w:p>
          <w:p w14:paraId="042E89D9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7.在线客服解决学生、管理员、辅导老师使用问题；学生学习的导学、督学（短信、电话、邮件）服务。</w:t>
            </w:r>
          </w:p>
          <w:p w14:paraId="5F9D4033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8.平台监控、系统维护。</w:t>
            </w:r>
          </w:p>
          <w:p w14:paraId="2A8DC794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9.学习进程中对学习情况进行问卷调查分析，了解学生感受和意见。</w:t>
            </w:r>
          </w:p>
          <w:p w14:paraId="397EFB95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10.课程使用期限为壹年。</w:t>
            </w:r>
          </w:p>
          <w:p w14:paraId="45070FD0">
            <w:pPr>
              <w:widowControl/>
              <w:spacing w:line="240" w:lineRule="exact"/>
              <w:jc w:val="left"/>
              <w:rPr>
                <w:color w:val="000000"/>
                <w:kern w:val="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</w:rPr>
              <w:t>11.视频资源可以实现本地化镜像部署。</w:t>
            </w:r>
          </w:p>
        </w:tc>
        <w:tc>
          <w:tcPr>
            <w:tcW w:w="375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025D1E1">
            <w:pPr>
              <w:spacing w:line="480" w:lineRule="exact"/>
              <w:jc w:val="center"/>
              <w:rPr>
                <w:sz w:val="20"/>
                <w:szCs w:val="20"/>
              </w:rPr>
            </w:pPr>
          </w:p>
        </w:tc>
      </w:tr>
    </w:tbl>
    <w:p w14:paraId="205943CD">
      <w:pPr>
        <w:widowControl/>
        <w:jc w:val="left"/>
        <w:rPr>
          <w:rFonts w:ascii="Times New Roman" w:hAnsi="Times New Roman"/>
          <w:b/>
          <w:szCs w:val="21"/>
        </w:rPr>
      </w:pPr>
    </w:p>
    <w:p w14:paraId="2E8C0C91">
      <w:pPr>
        <w:rPr>
          <w:rFonts w:ascii="仿宋_GB2312" w:eastAsia="仿宋_GB2312"/>
          <w:b/>
          <w:bCs/>
          <w:spacing w:val="20"/>
          <w:sz w:val="24"/>
        </w:rPr>
      </w:pPr>
    </w:p>
    <w:p w14:paraId="337FFE68">
      <w:pPr>
        <w:snapToGrid w:val="0"/>
        <w:spacing w:line="300" w:lineRule="auto"/>
        <w:rPr>
          <w:rFonts w:ascii="仿宋_GB2312" w:hAnsi="仿宋" w:eastAsia="仿宋_GB2312"/>
          <w:b/>
          <w:sz w:val="28"/>
          <w:szCs w:val="28"/>
        </w:rPr>
      </w:pPr>
    </w:p>
    <w:p w14:paraId="66073073">
      <w:pPr>
        <w:snapToGrid w:val="0"/>
        <w:spacing w:line="300" w:lineRule="auto"/>
        <w:rPr>
          <w:rFonts w:ascii="仿宋_GB2312" w:hAnsi="仿宋" w:eastAsia="仿宋_GB2312"/>
          <w:b/>
          <w:sz w:val="28"/>
          <w:szCs w:val="28"/>
        </w:rPr>
      </w:pPr>
    </w:p>
    <w:p w14:paraId="00623FA5">
      <w:pPr>
        <w:snapToGrid w:val="0"/>
        <w:spacing w:line="300" w:lineRule="auto"/>
        <w:rPr>
          <w:rFonts w:ascii="仿宋_GB2312" w:hAnsi="仿宋" w:eastAsia="仿宋_GB2312"/>
          <w:b/>
          <w:sz w:val="28"/>
          <w:szCs w:val="28"/>
        </w:rPr>
      </w:pPr>
    </w:p>
    <w:p w14:paraId="7CF4EE72">
      <w:pPr>
        <w:snapToGrid w:val="0"/>
        <w:spacing w:line="300" w:lineRule="auto"/>
        <w:rPr>
          <w:rFonts w:ascii="仿宋_GB2312" w:hAnsi="仿宋" w:eastAsia="仿宋_GB2312"/>
          <w:b/>
          <w:sz w:val="28"/>
          <w:szCs w:val="28"/>
        </w:rPr>
      </w:pPr>
    </w:p>
    <w:p w14:paraId="6D70E6AC">
      <w:pPr>
        <w:snapToGrid w:val="0"/>
        <w:spacing w:line="300" w:lineRule="auto"/>
        <w:rPr>
          <w:rFonts w:ascii="仿宋_GB2312" w:hAnsi="仿宋" w:eastAsia="仿宋_GB2312"/>
          <w:b/>
          <w:sz w:val="28"/>
          <w:szCs w:val="28"/>
        </w:rPr>
      </w:pPr>
      <w:r>
        <w:rPr>
          <w:rFonts w:hint="eastAsia" w:ascii="仿宋_GB2312" w:hAnsi="仿宋" w:eastAsia="仿宋_GB2312"/>
          <w:b/>
          <w:sz w:val="28"/>
          <w:szCs w:val="28"/>
        </w:rPr>
        <w:t>附件2</w:t>
      </w:r>
    </w:p>
    <w:p w14:paraId="2FB81E7D">
      <w:pPr>
        <w:spacing w:line="360" w:lineRule="auto"/>
        <w:jc w:val="center"/>
        <w:rPr>
          <w:rFonts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报 价 函</w:t>
      </w:r>
    </w:p>
    <w:p w14:paraId="0AE0ADF0">
      <w:pPr>
        <w:spacing w:line="360" w:lineRule="auto"/>
        <w:jc w:val="center"/>
        <w:rPr>
          <w:rFonts w:ascii="仿宋" w:hAnsi="仿宋" w:eastAsia="仿宋" w:cs="仿宋"/>
          <w:b/>
          <w:sz w:val="24"/>
        </w:rPr>
      </w:pPr>
    </w:p>
    <w:p w14:paraId="5F79F177">
      <w:pPr>
        <w:spacing w:line="40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致：江苏财经</w:t>
      </w:r>
      <w:r>
        <w:rPr>
          <w:rFonts w:ascii="仿宋" w:hAnsi="仿宋" w:eastAsia="仿宋" w:cs="仿宋"/>
          <w:sz w:val="28"/>
          <w:szCs w:val="28"/>
        </w:rPr>
        <w:t>职业技术学院</w:t>
      </w:r>
    </w:p>
    <w:p w14:paraId="3CE21BAF">
      <w:pPr>
        <w:spacing w:line="400" w:lineRule="exact"/>
        <w:rPr>
          <w:rFonts w:ascii="仿宋" w:hAnsi="仿宋" w:eastAsia="仿宋" w:cs="仿宋"/>
          <w:sz w:val="28"/>
          <w:szCs w:val="28"/>
        </w:rPr>
      </w:pPr>
    </w:p>
    <w:p w14:paraId="625B1F70">
      <w:pPr>
        <w:spacing w:line="560" w:lineRule="exact"/>
        <w:ind w:firstLine="560" w:firstLineChars="200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根据贵方</w:t>
      </w:r>
      <w:r>
        <w:rPr>
          <w:rFonts w:eastAsia="仿宋" w:cs="Calibri"/>
          <w:sz w:val="28"/>
          <w:szCs w:val="28"/>
          <w:u w:val="single"/>
        </w:rPr>
        <w:t>                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</w:t>
      </w:r>
      <w:r>
        <w:rPr>
          <w:rFonts w:ascii="仿宋" w:hAnsi="仿宋" w:eastAsia="仿宋" w:cs="仿宋"/>
          <w:sz w:val="28"/>
          <w:szCs w:val="28"/>
          <w:u w:val="single"/>
        </w:rPr>
        <w:t xml:space="preserve">           </w:t>
      </w:r>
      <w:r>
        <w:rPr>
          <w:rFonts w:hint="eastAsia" w:ascii="仿宋" w:hAnsi="仿宋" w:eastAsia="仿宋" w:cs="仿宋"/>
          <w:sz w:val="28"/>
          <w:szCs w:val="28"/>
        </w:rPr>
        <w:t>项目的采购文件（编号：</w:t>
      </w:r>
      <w:r>
        <w:rPr>
          <w:rFonts w:eastAsia="仿宋" w:cs="Calibri"/>
          <w:sz w:val="28"/>
          <w:szCs w:val="28"/>
          <w:u w:val="single"/>
        </w:rPr>
        <w:t>     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</w:t>
      </w:r>
      <w:r>
        <w:rPr>
          <w:rFonts w:eastAsia="仿宋" w:cs="Calibri"/>
          <w:sz w:val="28"/>
          <w:szCs w:val="28"/>
          <w:u w:val="single"/>
        </w:rPr>
        <w:t>          </w:t>
      </w:r>
      <w:r>
        <w:rPr>
          <w:rFonts w:hint="eastAsia" w:ascii="仿宋" w:hAnsi="仿宋" w:eastAsia="仿宋" w:cs="仿宋"/>
          <w:sz w:val="28"/>
          <w:szCs w:val="28"/>
        </w:rPr>
        <w:t>），正式授权下述签字人</w:t>
      </w:r>
      <w:r>
        <w:rPr>
          <w:rFonts w:eastAsia="仿宋" w:cs="Calibri"/>
          <w:sz w:val="28"/>
          <w:szCs w:val="28"/>
          <w:u w:val="single"/>
        </w:rPr>
        <w:t xml:space="preserve">                  </w:t>
      </w:r>
      <w:r>
        <w:rPr>
          <w:rFonts w:hint="eastAsia" w:ascii="仿宋" w:hAnsi="仿宋" w:eastAsia="仿宋" w:cs="仿宋"/>
          <w:sz w:val="28"/>
          <w:szCs w:val="28"/>
        </w:rPr>
        <w:t>（姓名和职务）代表本单位</w:t>
      </w:r>
      <w:r>
        <w:rPr>
          <w:rFonts w:eastAsia="仿宋" w:cs="Calibri"/>
          <w:sz w:val="28"/>
          <w:szCs w:val="28"/>
          <w:u w:val="single"/>
        </w:rPr>
        <w:t>               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</w:t>
      </w:r>
      <w:r>
        <w:rPr>
          <w:rFonts w:eastAsia="仿宋" w:cs="Calibri"/>
          <w:sz w:val="28"/>
          <w:szCs w:val="28"/>
          <w:u w:val="single"/>
        </w:rPr>
        <w:t xml:space="preserve">                      </w:t>
      </w:r>
      <w:r>
        <w:rPr>
          <w:rFonts w:hint="eastAsia" w:ascii="仿宋" w:hAnsi="仿宋" w:eastAsia="仿宋" w:cs="仿宋"/>
          <w:sz w:val="28"/>
          <w:szCs w:val="28"/>
        </w:rPr>
        <w:t>（单位的名称），提交相关报价</w:t>
      </w:r>
      <w:r>
        <w:rPr>
          <w:rFonts w:ascii="仿宋" w:hAnsi="仿宋" w:eastAsia="仿宋" w:cs="仿宋"/>
          <w:sz w:val="28"/>
          <w:szCs w:val="28"/>
        </w:rPr>
        <w:t>文件。</w:t>
      </w:r>
    </w:p>
    <w:p w14:paraId="23BD1497">
      <w:pPr>
        <w:spacing w:line="560" w:lineRule="exact"/>
        <w:ind w:firstLine="560" w:firstLineChars="200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eastAsia="仿宋" w:cs="Calibri"/>
          <w:sz w:val="28"/>
          <w:szCs w:val="28"/>
        </w:rPr>
        <w:t> </w:t>
      </w:r>
      <w:r>
        <w:rPr>
          <w:rFonts w:hint="eastAsia" w:ascii="仿宋" w:hAnsi="仿宋" w:eastAsia="仿宋" w:cs="仿宋"/>
          <w:sz w:val="28"/>
          <w:szCs w:val="28"/>
        </w:rPr>
        <w:t>据此函，签字人兹宣布同意如下：</w:t>
      </w:r>
    </w:p>
    <w:p w14:paraId="5E433172">
      <w:pPr>
        <w:ind w:left="561" w:leftChars="267" w:firstLine="560" w:firstLineChars="200"/>
        <w:jc w:val="left"/>
        <w:rPr>
          <w:rFonts w:ascii="仿宋" w:hAnsi="仿宋" w:eastAsia="仿宋" w:cs="仿宋"/>
          <w:sz w:val="28"/>
          <w:szCs w:val="28"/>
          <w:u w:val="single"/>
        </w:rPr>
      </w:pPr>
      <w:r>
        <w:rPr>
          <w:rFonts w:hint="eastAsia" w:ascii="仿宋" w:hAnsi="仿宋" w:eastAsia="仿宋" w:cs="仿宋"/>
          <w:sz w:val="28"/>
          <w:szCs w:val="28"/>
        </w:rPr>
        <w:t>1.江苏财经职业技术学院共享见面课服务项目询价，</w:t>
      </w:r>
      <w:r>
        <w:rPr>
          <w:rFonts w:hint="eastAsia" w:eastAsia="仿宋" w:cs="Calibri"/>
          <w:sz w:val="28"/>
          <w:szCs w:val="28"/>
        </w:rPr>
        <w:t>我方</w:t>
      </w:r>
      <w:r>
        <w:rPr>
          <w:rFonts w:hint="eastAsia" w:ascii="仿宋" w:hAnsi="仿宋" w:eastAsia="仿宋" w:cs="仿宋"/>
          <w:sz w:val="28"/>
          <w:szCs w:val="28"/>
        </w:rPr>
        <w:t>总价为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</w:t>
      </w:r>
      <w:r>
        <w:rPr>
          <w:rFonts w:hint="eastAsia" w:ascii="仿宋" w:hAnsi="仿宋" w:eastAsia="仿宋" w:cs="仿宋"/>
          <w:sz w:val="28"/>
          <w:szCs w:val="28"/>
        </w:rPr>
        <w:t>（大写）</w:t>
      </w:r>
      <w:r>
        <w:rPr>
          <w:rFonts w:hint="eastAsia" w:ascii="仿宋" w:hAnsi="仿宋" w:eastAsia="仿宋" w:cs="仿宋"/>
          <w:sz w:val="28"/>
          <w:szCs w:val="28"/>
          <w:u w:val="single"/>
        </w:rPr>
        <w:t>，（￥      ）</w:t>
      </w:r>
    </w:p>
    <w:p w14:paraId="736CECE8">
      <w:pPr>
        <w:ind w:firstLine="560" w:firstLineChars="200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2.我们承担根据询价文件的规定，完成合同的责任和义务。</w:t>
      </w:r>
    </w:p>
    <w:p w14:paraId="0874DE01">
      <w:pPr>
        <w:spacing w:line="560" w:lineRule="exact"/>
        <w:ind w:firstLine="560" w:firstLineChars="200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3.我们已详细审核全部询价文件，参考资料及有关附件，我们完全理解并同意放弃对这方面有不明或误解的权利。</w:t>
      </w:r>
    </w:p>
    <w:p w14:paraId="3510C0FD">
      <w:pPr>
        <w:spacing w:line="560" w:lineRule="exact"/>
        <w:ind w:firstLine="560" w:firstLineChars="200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4.我们同意在供应商须知规定的报价日期起遵循本询价文件要求，并在供应商须知规定的报价有效期满之前均具有约束力。</w:t>
      </w:r>
    </w:p>
    <w:p w14:paraId="52BD4201">
      <w:pPr>
        <w:spacing w:line="560" w:lineRule="exact"/>
        <w:ind w:firstLine="560" w:firstLineChars="200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eastAsia="仿宋" w:cs="Calibri"/>
          <w:sz w:val="28"/>
          <w:szCs w:val="28"/>
        </w:rPr>
        <w:t> </w:t>
      </w:r>
      <w:r>
        <w:rPr>
          <w:rFonts w:hint="eastAsia" w:ascii="仿宋" w:hAnsi="仿宋" w:eastAsia="仿宋" w:cs="仿宋"/>
          <w:sz w:val="28"/>
          <w:szCs w:val="28"/>
        </w:rPr>
        <w:t>5.同意向贵方提供贵方可能要求的与本报价有关的任何数据或资料。</w:t>
      </w:r>
    </w:p>
    <w:p w14:paraId="1B214B4E">
      <w:pPr>
        <w:spacing w:line="400" w:lineRule="exact"/>
        <w:ind w:firstLine="3960" w:firstLineChars="1650"/>
        <w:rPr>
          <w:rFonts w:ascii="仿宋" w:hAnsi="仿宋" w:eastAsia="仿宋" w:cs="仿宋"/>
          <w:sz w:val="24"/>
        </w:rPr>
      </w:pPr>
    </w:p>
    <w:p w14:paraId="071A8D31">
      <w:pPr>
        <w:spacing w:line="560" w:lineRule="exact"/>
        <w:ind w:firstLine="2520" w:firstLineChars="1050"/>
        <w:rPr>
          <w:rFonts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投标单位</w:t>
      </w:r>
      <w:r>
        <w:rPr>
          <w:rFonts w:ascii="仿宋" w:hAnsi="仿宋" w:eastAsia="仿宋" w:cs="仿宋"/>
          <w:sz w:val="24"/>
        </w:rPr>
        <w:t>：</w:t>
      </w:r>
      <w:r>
        <w:rPr>
          <w:rFonts w:hint="eastAsia" w:ascii="仿宋" w:hAnsi="仿宋" w:eastAsia="仿宋" w:cs="仿宋"/>
          <w:sz w:val="24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sz w:val="24"/>
        </w:rPr>
        <w:t>（投标</w:t>
      </w:r>
      <w:r>
        <w:rPr>
          <w:rFonts w:ascii="仿宋" w:hAnsi="仿宋" w:eastAsia="仿宋" w:cs="仿宋"/>
          <w:sz w:val="24"/>
        </w:rPr>
        <w:t>单位盖章</w:t>
      </w:r>
      <w:r>
        <w:rPr>
          <w:rFonts w:hint="eastAsia" w:ascii="仿宋" w:hAnsi="仿宋" w:eastAsia="仿宋" w:cs="仿宋"/>
          <w:sz w:val="24"/>
        </w:rPr>
        <w:t>）</w:t>
      </w:r>
    </w:p>
    <w:p w14:paraId="50FA086F">
      <w:pPr>
        <w:spacing w:line="560" w:lineRule="exact"/>
        <w:ind w:firstLine="2520" w:firstLineChars="1050"/>
        <w:rPr>
          <w:rFonts w:ascii="仿宋" w:hAnsi="仿宋" w:eastAsia="仿宋" w:cs="仿宋"/>
          <w:sz w:val="24"/>
          <w:u w:val="single"/>
        </w:rPr>
      </w:pPr>
      <w:r>
        <w:rPr>
          <w:rFonts w:hint="eastAsia" w:ascii="仿宋" w:hAnsi="仿宋" w:eastAsia="仿宋" w:cs="仿宋"/>
          <w:sz w:val="24"/>
        </w:rPr>
        <w:t>法定</w:t>
      </w:r>
      <w:r>
        <w:rPr>
          <w:rFonts w:ascii="仿宋" w:hAnsi="仿宋" w:eastAsia="仿宋" w:cs="仿宋"/>
          <w:sz w:val="24"/>
        </w:rPr>
        <w:t>代表人</w:t>
      </w:r>
      <w:r>
        <w:rPr>
          <w:rFonts w:hint="eastAsia" w:ascii="仿宋" w:hAnsi="仿宋" w:eastAsia="仿宋" w:cs="仿宋"/>
          <w:sz w:val="24"/>
        </w:rPr>
        <w:t>(或委托人)：</w:t>
      </w:r>
      <w:r>
        <w:rPr>
          <w:rFonts w:hint="eastAsia" w:ascii="仿宋" w:hAnsi="仿宋" w:eastAsia="仿宋" w:cs="仿宋"/>
          <w:sz w:val="24"/>
          <w:u w:val="single"/>
        </w:rPr>
        <w:t xml:space="preserve">                </w:t>
      </w:r>
    </w:p>
    <w:p w14:paraId="3486B0E4">
      <w:pPr>
        <w:spacing w:line="560" w:lineRule="exact"/>
        <w:ind w:firstLine="2520" w:firstLineChars="1050"/>
        <w:rPr>
          <w:rFonts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联系</w:t>
      </w:r>
      <w:r>
        <w:rPr>
          <w:rFonts w:ascii="仿宋" w:hAnsi="仿宋" w:eastAsia="仿宋" w:cs="仿宋"/>
          <w:sz w:val="24"/>
        </w:rPr>
        <w:t>电话：</w:t>
      </w:r>
      <w:r>
        <w:rPr>
          <w:rFonts w:hint="eastAsia" w:ascii="仿宋" w:hAnsi="仿宋" w:eastAsia="仿宋" w:cs="仿宋"/>
          <w:sz w:val="24"/>
          <w:u w:val="single"/>
        </w:rPr>
        <w:t xml:space="preserve">                           </w:t>
      </w:r>
    </w:p>
    <w:p w14:paraId="5AB1052B">
      <w:pPr>
        <w:spacing w:line="560" w:lineRule="exact"/>
        <w:ind w:firstLine="2520" w:firstLineChars="1050"/>
        <w:rPr>
          <w:rFonts w:ascii="仿宋" w:hAnsi="仿宋" w:eastAsia="仿宋" w:cs="仿宋"/>
          <w:sz w:val="24"/>
          <w:u w:val="single"/>
        </w:rPr>
      </w:pPr>
      <w:r>
        <w:rPr>
          <w:rFonts w:hint="eastAsia" w:ascii="仿宋" w:hAnsi="仿宋" w:eastAsia="仿宋" w:cs="仿宋"/>
          <w:sz w:val="24"/>
        </w:rPr>
        <w:t>日期</w:t>
      </w:r>
      <w:r>
        <w:rPr>
          <w:rFonts w:ascii="仿宋" w:hAnsi="仿宋" w:eastAsia="仿宋" w:cs="仿宋"/>
          <w:sz w:val="24"/>
        </w:rPr>
        <w:t>：</w:t>
      </w:r>
      <w:r>
        <w:rPr>
          <w:rFonts w:hint="eastAsia" w:ascii="仿宋" w:hAnsi="仿宋" w:eastAsia="仿宋" w:cs="仿宋"/>
          <w:sz w:val="24"/>
          <w:u w:val="single"/>
        </w:rPr>
        <w:t xml:space="preserve">     </w:t>
      </w:r>
      <w:r>
        <w:rPr>
          <w:rFonts w:ascii="仿宋" w:hAnsi="仿宋" w:eastAsia="仿宋" w:cs="仿宋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sz w:val="24"/>
          <w:u w:val="single"/>
        </w:rPr>
        <w:t xml:space="preserve">年   </w:t>
      </w:r>
      <w:r>
        <w:rPr>
          <w:rFonts w:ascii="仿宋" w:hAnsi="仿宋" w:eastAsia="仿宋" w:cs="仿宋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sz w:val="24"/>
          <w:u w:val="single"/>
        </w:rPr>
        <w:t xml:space="preserve"> 月     </w:t>
      </w:r>
      <w:r>
        <w:rPr>
          <w:rFonts w:ascii="仿宋" w:hAnsi="仿宋" w:eastAsia="仿宋" w:cs="仿宋"/>
          <w:sz w:val="24"/>
          <w:u w:val="single"/>
        </w:rPr>
        <w:t>日</w:t>
      </w:r>
    </w:p>
    <w:p w14:paraId="2E3ECED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2856CD"/>
    <w:rsid w:val="792856CD"/>
    <w:rsid w:val="7DDF5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qFormat/>
    <w:uiPriority w:val="9"/>
    <w:pPr>
      <w:keepNext/>
      <w:keepLines/>
      <w:spacing w:before="260" w:after="260" w:line="413" w:lineRule="auto"/>
      <w:outlineLvl w:val="2"/>
    </w:pPr>
    <w:rPr>
      <w:rFonts w:ascii="Arial" w:hAnsi="Arial"/>
      <w:b/>
      <w:sz w:val="32"/>
      <w:szCs w:val="20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海口市直属党政机关单位</Company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2025-11-17T09:05:00Z</dcterms:created>
  <dc:creator>小工匠</dc:creator>
  <cp:lastModifiedBy>小工匠</cp:lastModifiedBy>
  <dcterms:modified xsi:type="dcterms:W3CDTF">2025-11-17T09:06:38Z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145C373D2C454F7FA38A0B8278E6EBDC_11</vt:lpwstr>
  </property>
  <property fmtid="{D5CDD505-2E9C-101B-9397-08002B2CF9AE}" pid="4" name="KSOTemplateDocerSaveRecord">
    <vt:lpwstr>eyJoZGlkIjoiMmYyYmYyNDA0YjljNjlkMDY1NDk4YWQ0YzE4ZWU4ZWIiLCJ1c2VySWQiOiIyMzk4NDU3ODQifQ==</vt:lpwstr>
  </property>
</Properties>
</file>